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23bis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R2-2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310269</w:t>
      </w:r>
      <w:bookmarkStart w:id="0" w:name="_GoBack"/>
      <w:bookmarkEnd w:id="0"/>
    </w:p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Arial" w:hAnsi="Arial" w:eastAsia="宋体" w:cs="Arial"/>
          <w:b/>
          <w:bCs/>
          <w:kern w:val="0"/>
          <w:sz w:val="24"/>
          <w:szCs w:val="24"/>
          <w:lang w:val="en-GB" w:eastAsia="zh-CN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Xiamen, China,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9 - 13 October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, 202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3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6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2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.1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the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HARQ enhancement for IoT-NTN</w:t>
      </w:r>
    </w:p>
    <w:p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IoT_NTN_enh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 and Decision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1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hint="eastAsia" w:ascii="Arial" w:hAnsi="Arial" w:cs="Arial"/>
          <w:sz w:val="20"/>
          <w:szCs w:val="20"/>
          <w:lang w:val="en-US" w:eastAsia="zh-CN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In RAN</w:t>
      </w:r>
      <w:r>
        <w:rPr>
          <w:rFonts w:hint="eastAsia" w:ascii="Arial" w:hAnsi="Arial" w:eastAsia="宋体" w:cs="Arial"/>
          <w:kern w:val="0"/>
          <w:sz w:val="20"/>
          <w:szCs w:val="20"/>
        </w:rPr>
        <w:t>2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#</w:t>
      </w:r>
      <w:r>
        <w:rPr>
          <w:rFonts w:hint="eastAsia" w:ascii="Arial" w:hAnsi="Arial" w:eastAsia="宋体" w:cs="Arial"/>
          <w:kern w:val="0"/>
          <w:sz w:val="20"/>
          <w:szCs w:val="20"/>
        </w:rPr>
        <w:t>1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23 meeting[1]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RAN2 discussed the open issues </w:t>
      </w:r>
      <w:r>
        <w:rPr>
          <w:rFonts w:hint="eastAsia" w:ascii="Arial" w:hAnsi="Arial" w:eastAsia="宋体" w:cs="Arial"/>
          <w:kern w:val="0"/>
          <w:sz w:val="20"/>
          <w:szCs w:val="20"/>
        </w:rPr>
        <w:t>on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HARQ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 enhancements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and </w:t>
      </w:r>
      <w:r>
        <w:rPr>
          <w:rFonts w:hint="eastAsia" w:ascii="Arial" w:hAnsi="Arial" w:cs="Arial"/>
          <w:sz w:val="20"/>
          <w:szCs w:val="20"/>
          <w:lang w:val="en-US" w:eastAsia="zh-CN"/>
        </w:rPr>
        <w:t>achieved lots of agreements</w:t>
      </w:r>
      <w:r>
        <w:rPr>
          <w:rFonts w:hint="default" w:ascii="Arial" w:hAnsi="Arial" w:cs="Arial"/>
          <w:sz w:val="20"/>
          <w:szCs w:val="20"/>
        </w:rPr>
        <w:t>.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As indicated by Rapporteur, here are the list of remaining open issues on HARQ enhancements for IoT-NTN.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/>
              <w:textAlignment w:val="auto"/>
              <w:rPr>
                <w:rFonts w:hint="default"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</w:rPr>
              <w:t>36.321 (MAC) CR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726" w:hanging="363"/>
              <w:textAlignment w:val="auto"/>
              <w:rPr>
                <w:rFonts w:hint="default" w:ascii="Arial" w:hAnsi="Arial" w:cs="Arial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b w:val="0"/>
                <w:bCs w:val="0"/>
                <w:color w:val="auto"/>
                <w:sz w:val="20"/>
                <w:szCs w:val="20"/>
              </w:rPr>
              <w:t>DL HARQ feedback and UL HARQ modes impact on drx-inactivity timer on more than one HARQ processes (considering RAN1’s LS-response)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/>
              <w:ind w:left="720"/>
              <w:textAlignment w:val="auto"/>
              <w:rPr>
                <w:rFonts w:hint="default" w:ascii="Arial" w:hAnsi="Arial" w:cs="Arial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b w:val="0"/>
                <w:bCs w:val="0"/>
                <w:color w:val="auto"/>
                <w:sz w:val="20"/>
                <w:szCs w:val="20"/>
              </w:rPr>
              <w:t>RAN2 impact of RAN1’s working assumption of DCI overridden indication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/>
              <w:ind w:left="720"/>
              <w:textAlignment w:val="auto"/>
              <w:rPr>
                <w:rFonts w:hint="default" w:ascii="Arial" w:hAnsi="Arial" w:cs="Arial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b w:val="0"/>
                <w:bCs w:val="0"/>
                <w:color w:val="auto"/>
                <w:sz w:val="20"/>
                <w:szCs w:val="20"/>
              </w:rPr>
              <w:t>For UL multiple TB scheduling in eMTC and NB-IoT, whether to allow different HARQ mode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/>
              <w:ind w:left="720"/>
              <w:textAlignment w:val="auto"/>
              <w:rPr>
                <w:rFonts w:hint="default" w:ascii="Arial" w:hAnsi="Arial" w:cs="Arial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b w:val="0"/>
                <w:bCs w:val="0"/>
                <w:color w:val="auto"/>
                <w:sz w:val="20"/>
                <w:szCs w:val="20"/>
              </w:rPr>
              <w:t>Whether HARQ mode can be configured for PUR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/>
              <w:ind w:left="720"/>
              <w:textAlignment w:val="auto"/>
              <w:rPr>
                <w:rFonts w:hint="eastAsia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b w:val="0"/>
                <w:bCs w:val="0"/>
                <w:color w:val="auto"/>
                <w:sz w:val="20"/>
                <w:szCs w:val="20"/>
              </w:rPr>
              <w:t>UL HARQ mode configuration for UL SPS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ascii="Arial" w:hAnsi="Arial" w:eastAsia="宋体" w:cs="Arial"/>
          <w:kern w:val="0"/>
          <w:sz w:val="20"/>
          <w:szCs w:val="20"/>
          <w:lang w:val="en-GB"/>
        </w:rPr>
        <w:t xml:space="preserve">This contribution will discuss the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remaining open issues on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</w:rPr>
        <w:t>HARQ enhancements for IoT-NTN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>.</w:t>
      </w:r>
    </w:p>
    <w:p>
      <w:pPr>
        <w:keepNext/>
        <w:keepLines/>
        <w:widowControl/>
        <w:numPr>
          <w:ilvl w:val="0"/>
          <w:numId w:val="2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Discussion</w:t>
      </w:r>
    </w:p>
    <w:p>
      <w:pPr>
        <w:widowControl/>
        <w:numPr>
          <w:ilvl w:val="1"/>
          <w:numId w:val="2"/>
        </w:numPr>
        <w:spacing w:before="240" w:after="180"/>
        <w:outlineLvl w:val="1"/>
        <w:rPr>
          <w:rFonts w:hint="eastAsia" w:ascii="Arial" w:hAnsi="Arial" w:eastAsia="宋体" w:cs="Arial"/>
          <w:kern w:val="0"/>
          <w:sz w:val="32"/>
          <w:szCs w:val="32"/>
          <w:lang w:val="en-US" w:eastAsia="zh-CN"/>
        </w:rPr>
      </w:pPr>
      <w:r>
        <w:rPr>
          <w:rFonts w:hint="eastAsia" w:ascii="Arial" w:hAnsi="Arial" w:eastAsia="宋体" w:cs="Arial"/>
          <w:kern w:val="0"/>
          <w:sz w:val="32"/>
          <w:szCs w:val="32"/>
          <w:lang w:val="en-US" w:eastAsia="zh-CN"/>
        </w:rPr>
        <w:t xml:space="preserve"> HARQ operation on more than one HARQ processes</w:t>
      </w:r>
    </w:p>
    <w:p>
      <w:pPr>
        <w:widowControl/>
        <w:spacing w:after="180"/>
        <w:rPr>
          <w:rFonts w:hint="default" w:ascii="Arial" w:hAnsi="Arial" w:eastAsia="等线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As per RAN1 reply LS [2], f</w:t>
      </w:r>
      <w:r>
        <w:rPr>
          <w:rFonts w:ascii="Arial" w:hAnsi="Arial" w:eastAsia="等线" w:cs="Arial"/>
          <w:color w:val="000000"/>
          <w:sz w:val="20"/>
          <w:szCs w:val="20"/>
          <w:lang w:val="sv-SE" w:eastAsia="zh-CN"/>
        </w:rPr>
        <w:t xml:space="preserve">or </w:t>
      </w:r>
      <w:r>
        <w:rPr>
          <w:rFonts w:hint="eastAsia" w:ascii="Arial" w:hAnsi="Arial" w:eastAsia="等线" w:cs="Arial"/>
          <w:color w:val="000000"/>
          <w:sz w:val="20"/>
          <w:szCs w:val="20"/>
          <w:lang w:val="en-US" w:eastAsia="zh-CN"/>
        </w:rPr>
        <w:t xml:space="preserve">eMTC UE, RAN1 agreed that for </w:t>
      </w:r>
      <w:r>
        <w:rPr>
          <w:rFonts w:ascii="Arial" w:hAnsi="Arial" w:eastAsia="等线" w:cs="Arial"/>
          <w:color w:val="000000"/>
          <w:sz w:val="20"/>
          <w:szCs w:val="20"/>
          <w:lang w:val="sv-SE" w:eastAsia="zh-CN"/>
        </w:rPr>
        <w:t>an UL HARQ process with HARQ mode B, the minimum time between the end of PUSCH transmission and the start of MPDCCH monitoring for the same HARQ process is 1 ms for Type B half-duplex FDD operation, and there is no minimum time restriction between the end of PUSCH transmission and the start of MPDCCH monitoring for full-duplex FDD operation.</w:t>
      </w:r>
      <w:r>
        <w:rPr>
          <w:rFonts w:hint="eastAsia" w:ascii="Arial" w:hAnsi="Arial" w:eastAsia="等线" w:cs="Arial"/>
          <w:color w:val="000000"/>
          <w:sz w:val="20"/>
          <w:szCs w:val="20"/>
          <w:lang w:val="en-US" w:eastAsia="zh-CN"/>
        </w:rPr>
        <w:t xml:space="preserve"> Thus, the processing time for Type B half-duplex FDD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operation </w:t>
      </w:r>
      <w:r>
        <w:rPr>
          <w:rFonts w:hint="eastAsia" w:ascii="Arial" w:hAnsi="Arial" w:eastAsia="等线" w:cs="Arial"/>
          <w:color w:val="000000"/>
          <w:sz w:val="20"/>
          <w:szCs w:val="20"/>
          <w:lang w:val="en-US" w:eastAsia="zh-CN"/>
        </w:rPr>
        <w:t>should be considered for inactivity timer of HARQ mode B.</w:t>
      </w:r>
    </w:p>
    <w:p>
      <w:pPr>
        <w:widowControl/>
        <w:spacing w:after="180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Proposal 1: For eMTC UE with </w:t>
      </w:r>
      <w:r>
        <w:rPr>
          <w:rFonts w:ascii="Arial" w:hAnsi="Arial" w:eastAsia="等线" w:cs="Arial"/>
          <w:b/>
          <w:bCs/>
          <w:color w:val="000000"/>
          <w:sz w:val="20"/>
          <w:szCs w:val="20"/>
          <w:lang w:val="sv-SE" w:eastAsia="zh-CN"/>
        </w:rPr>
        <w:t>Type B half-duplex FDD operation</w:t>
      </w:r>
      <w:r>
        <w:rPr>
          <w:rFonts w:hint="eastAsia" w:ascii="Arial" w:hAnsi="Arial" w:eastAsia="等线" w:cs="Arial"/>
          <w:b/>
          <w:bCs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等线" w:cs="Arial"/>
          <w:b/>
          <w:bCs/>
          <w:color w:val="000000"/>
          <w:sz w:val="20"/>
          <w:szCs w:val="20"/>
          <w:lang w:val="sv-SE" w:eastAsia="zh-CN"/>
        </w:rPr>
        <w:t>with HARQ mode B</w:t>
      </w:r>
      <w:r>
        <w:rPr>
          <w:rFonts w:hint="eastAsia" w:ascii="Arial" w:hAnsi="Arial" w:eastAsia="等线" w:cs="Arial"/>
          <w:b/>
          <w:bCs/>
          <w:color w:val="000000"/>
          <w:sz w:val="20"/>
          <w:szCs w:val="20"/>
          <w:lang w:val="en-US" w:eastAsia="zh-CN"/>
        </w:rPr>
        <w:t xml:space="preserve">, the UE will </w:t>
      </w:r>
      <w:r>
        <w:rPr>
          <w:rFonts w:hint="default" w:ascii="Arial" w:hAnsi="Arial" w:cs="Arial"/>
          <w:b/>
          <w:bCs/>
          <w:sz w:val="20"/>
          <w:szCs w:val="20"/>
        </w:rPr>
        <w:t xml:space="preserve">start/restart drx-inactivity timer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for the same HARQ process </w:t>
      </w:r>
      <w:r>
        <w:rPr>
          <w:rFonts w:hint="default" w:ascii="Arial" w:hAnsi="Arial" w:cs="Arial"/>
          <w:b/>
          <w:bCs/>
          <w:sz w:val="20"/>
          <w:szCs w:val="20"/>
        </w:rPr>
        <w:t>in the subframe containing the last repetition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 of PUSCH</w:t>
      </w:r>
      <w:r>
        <w:rPr>
          <w:rFonts w:hint="default" w:ascii="Arial" w:hAnsi="Arial" w:cs="Arial"/>
          <w:b/>
          <w:bCs/>
          <w:sz w:val="20"/>
          <w:szCs w:val="20"/>
        </w:rPr>
        <w:t xml:space="preserve">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transmission plus 1ms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widowControl/>
        <w:spacing w:after="180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For DL HARQ operation, </w:t>
      </w: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RAN1 confirmed that for a DL HARQ process with disabled HARQ feedback in NB-IoT, UE is not required to monitor NPDCCH for all the HARQ processes in a period of Y=12(ms) from the end of reception of the NPDSCH. For easy of understanding, we provide the following illustrations on two scenarios for NB-IoT UE with two HARQ processes separately.</w:t>
      </w:r>
    </w:p>
    <w:p>
      <w:pPr>
        <w:widowControl/>
        <w:numPr>
          <w:ilvl w:val="0"/>
          <w:numId w:val="3"/>
        </w:numPr>
        <w:spacing w:after="180"/>
        <w:ind w:left="420" w:leftChars="0" w:hanging="420" w:firstLineChars="0"/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Scenario 1: The two HARQ processes are both disabled.</w:t>
      </w:r>
    </w:p>
    <w:p>
      <w:pPr>
        <w:widowControl/>
        <w:spacing w:after="180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As illustrated in Fig.1, HARQ process#1 and HARQ process#2 are both disabled. When the UE receives NPDSCH for HARQ process#1, the UE will start/restart drx-inactivity timer after a period of 12ms. However, the UE receives NPDSCH for HARQ process#2 during the period of 12ms, the starting of drx-inactivity timer should be delayed, i.e. the UE will start/restart drx-inactivity timer in the subframe containing the NPDSCH reception of HARQ process#2 (which is the last reception of NPDSCH) plus 12ms.</w:t>
      </w:r>
    </w:p>
    <w:p>
      <w:pPr>
        <w:widowControl/>
        <w:spacing w:after="180"/>
        <w:jc w:val="center"/>
      </w:pPr>
      <w:r>
        <w:drawing>
          <wp:inline distT="0" distB="0" distL="114300" distR="114300">
            <wp:extent cx="3692525" cy="2395220"/>
            <wp:effectExtent l="0" t="0" r="3175" b="508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2525" cy="239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80"/>
        <w:jc w:val="center"/>
        <w:rPr>
          <w:rFonts w:hint="default" w:ascii="Arial" w:hAnsi="Arial" w:cs="Arial" w:eastAsiaTheme="minorEastAsia"/>
          <w:sz w:val="20"/>
          <w:szCs w:val="21"/>
          <w:lang w:val="en-US" w:eastAsia="zh-CN"/>
        </w:rPr>
      </w:pPr>
      <w:r>
        <w:rPr>
          <w:rFonts w:hint="default" w:ascii="Arial" w:hAnsi="Arial" w:cs="Arial"/>
          <w:sz w:val="20"/>
          <w:szCs w:val="21"/>
          <w:lang w:val="en-US" w:eastAsia="zh-CN"/>
        </w:rPr>
        <w:t>Fig.1</w:t>
      </w: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: </w:t>
      </w: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The two HARQ processes are both disabled</w:t>
      </w:r>
    </w:p>
    <w:p>
      <w:pPr>
        <w:widowControl/>
        <w:numPr>
          <w:ilvl w:val="0"/>
          <w:numId w:val="3"/>
        </w:numPr>
        <w:spacing w:after="180"/>
        <w:ind w:left="420" w:leftChars="0" w:hanging="420" w:firstLineChars="0"/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Scenario 2: One of the two HARQ processes is disabled and another is enabled.</w:t>
      </w:r>
    </w:p>
    <w:p>
      <w:pPr>
        <w:widowControl/>
        <w:spacing w:after="180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As illustrated in Fig.2, HARQ process#1 is enabled and HARQ process#2 is disabled. </w:t>
      </w:r>
    </w:p>
    <w:p>
      <w:pPr>
        <w:widowControl/>
        <w:spacing w:after="180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For case a, the UE firstly receives NPDSCH for HARQ process#1 with HARQ feedback enabled, and it will send HARQ feedback to eNB and monitor NPDCCH as legacy. Then the UE receives NPDSCH for HARQ process#2 with HARQ feedback disabled, the UE is not required to monitor NPDCCH for HARQ process#1 and process#2 during the NPDSCH reception of HARQ process#2 plus 12ms as per RAN1 agreements. </w:t>
      </w:r>
    </w:p>
    <w:p>
      <w:pPr>
        <w:widowControl/>
        <w:spacing w:after="180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For case b, the UE firstly receives NPDSCH for HARQ process#2 with HARQ feedback disabled, it is not required to monitor NPDCCH for HARQ process#1 and process#2 within 12ms. Then the UE receives NPDSCH for HARQ process#1 which is indicated by NPDCCH before the NPDSCH reception of HARQ process#2, the start of 12ms should be from the NPDSCH reception of HARQ process#1 which is the last reception of NPDSCH for all HARQ processes. Thus, during the NPDSCH reception of HARQ process#2 to the NPDSCH reception of HARQ process#1 plus 12ms, the UE is not required to monitor NPDCCH for all HARQ processes.</w:t>
      </w:r>
    </w:p>
    <w:p>
      <w:pPr>
        <w:widowControl/>
        <w:spacing w:after="180"/>
        <w:rPr>
          <w:rFonts w:hint="default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For HARQ process#1 with HARQ feedback enabled, if the drx-inactivity timer is running before NPDSCH reception of HARQ process#2 with HARQ feedback disabled, the drx-inactivity timer should be stopped since the UE is not required to monitor NPDCCH for all HARQ processes in a period of Y=12(ms) from the end of reception of the NPDSCH.</w:t>
      </w:r>
    </w:p>
    <w:p>
      <w:pPr>
        <w:widowControl/>
        <w:spacing w:after="180"/>
        <w:jc w:val="center"/>
      </w:pPr>
      <w:r>
        <w:drawing>
          <wp:inline distT="0" distB="0" distL="114300" distR="114300">
            <wp:extent cx="6118860" cy="2359025"/>
            <wp:effectExtent l="0" t="0" r="5715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80"/>
        <w:jc w:val="center"/>
        <w:rPr>
          <w:rFonts w:hint="default" w:ascii="Arial" w:hAnsi="Arial" w:cs="Arial" w:eastAsiaTheme="minorEastAsia"/>
          <w:sz w:val="20"/>
          <w:szCs w:val="21"/>
          <w:lang w:val="en-US" w:eastAsia="zh-CN"/>
        </w:rPr>
      </w:pPr>
      <w:r>
        <w:rPr>
          <w:rFonts w:hint="default" w:ascii="Arial" w:hAnsi="Arial" w:cs="Arial"/>
          <w:sz w:val="20"/>
          <w:szCs w:val="21"/>
          <w:lang w:val="en-US" w:eastAsia="zh-CN"/>
        </w:rPr>
        <w:t>Fig.</w:t>
      </w: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2: </w:t>
      </w: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>One of the two HARQ processes is disabled and another is enabled</w:t>
      </w: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 </w:t>
      </w:r>
    </w:p>
    <w:p>
      <w:pPr>
        <w:widowControl/>
        <w:spacing w:after="180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Based on the RAN1 agreements and above analysis, we understand for NB-IoT NTN with two HARQ processes where at least one HARQ process is disabled, the UE should stop the drx-inactivity timer if running when the UE receives NPDSCH of HARQ process with HARQ feedback disabled, and restart/start the drx-inactivity timer from the last reception of NPDSCH plus 12 subframes plus deltaPDCCH.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Proposal 2: For NB-IoT NTN with two HARQ processes where at least one HARQ process is disabled, the UE should stop the drx-inactivity timer if running when the UE receives NPDSCH of HARQ process with HARQ feedback disabled, and restart/start the drx-inactivity timer from the last reception of NPDSCH plus 12 subframes plus deltaPDCCH.</w:t>
      </w:r>
    </w:p>
    <w:p>
      <w:pPr>
        <w:widowControl/>
        <w:numPr>
          <w:ilvl w:val="1"/>
          <w:numId w:val="2"/>
        </w:numPr>
        <w:spacing w:before="240" w:after="180"/>
        <w:outlineLvl w:val="1"/>
        <w:rPr>
          <w:rFonts w:hint="eastAsia" w:ascii="Arial" w:hAnsi="Arial" w:eastAsia="宋体" w:cs="Arial"/>
          <w:kern w:val="0"/>
          <w:sz w:val="32"/>
          <w:szCs w:val="32"/>
        </w:rPr>
      </w:pPr>
      <w:r>
        <w:rPr>
          <w:rFonts w:ascii="Arial" w:hAnsi="Arial" w:eastAsia="宋体" w:cs="Arial"/>
          <w:kern w:val="0"/>
          <w:sz w:val="32"/>
          <w:szCs w:val="32"/>
        </w:rPr>
        <w:t xml:space="preserve"> </w:t>
      </w:r>
      <w:r>
        <w:rPr>
          <w:rFonts w:hint="eastAsia" w:ascii="Arial" w:hAnsi="Arial" w:eastAsia="宋体" w:cs="Arial"/>
          <w:kern w:val="0"/>
          <w:sz w:val="32"/>
          <w:szCs w:val="32"/>
          <w:lang w:val="en-US" w:eastAsia="zh-CN"/>
        </w:rPr>
        <w:t xml:space="preserve">UL </w:t>
      </w:r>
      <w:r>
        <w:rPr>
          <w:rFonts w:hint="eastAsia" w:ascii="Arial" w:hAnsi="Arial" w:eastAsia="宋体" w:cs="Arial"/>
          <w:kern w:val="0"/>
          <w:sz w:val="32"/>
          <w:szCs w:val="32"/>
        </w:rPr>
        <w:t>transmission using PUR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As specified in TS 36.300 [3], PUR (Pre-configured Uplink Resource) was introduced to allow UL transmission for UE in idle mode.  </w:t>
      </w:r>
    </w:p>
    <w:tbl>
      <w:tblPr>
        <w:tblStyle w:val="11"/>
        <w:tblW w:w="0" w:type="auto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80"/>
              <w:textAlignment w:val="auto"/>
              <w:rPr>
                <w:rFonts w:hint="eastAsia" w:ascii="Arial" w:hAnsi="Arial" w:eastAsia="宋体" w:cs="Arial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0"/>
                <w:lang w:val="en-US" w:eastAsia="zh-CN"/>
              </w:rPr>
              <w:t>Transmission using PUR allows one uplink transmission from RRC_IDLE using a preconfigured uplink resource without performing the random access procedure.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For NTN, HARQ mode B is only applicable to connected mode. In last meeting, RAN2 agreed that HARQ mode B is not applicable for UL transmission using PUR, and FFS whether HARQ mode can be configured for PUR. We don</w:t>
      </w:r>
      <w:r>
        <w:rPr>
          <w:rFonts w:hint="default" w:ascii="Arial" w:hAnsi="Arial" w:eastAsia="宋体" w:cs="Arial"/>
          <w:kern w:val="0"/>
          <w:sz w:val="20"/>
          <w:szCs w:val="20"/>
          <w:lang w:val="en-US" w:eastAsia="zh-CN"/>
        </w:rPr>
        <w:t>’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 see strong motivation to apply HARQ mode for idle mode, and we prefer not to configure HARQ mode for UL transmission using PUR.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3: RAN2 confirm not to configure HARQ mode for UL transmission using PUR.</w:t>
      </w:r>
    </w:p>
    <w:p>
      <w:pPr>
        <w:widowControl/>
        <w:numPr>
          <w:ilvl w:val="1"/>
          <w:numId w:val="2"/>
        </w:numPr>
        <w:spacing w:before="240" w:after="180"/>
        <w:outlineLvl w:val="1"/>
        <w:rPr>
          <w:rFonts w:hint="eastAsia" w:ascii="Arial" w:hAnsi="Arial" w:eastAsia="宋体" w:cs="Arial"/>
          <w:kern w:val="0"/>
          <w:sz w:val="32"/>
          <w:szCs w:val="32"/>
        </w:rPr>
      </w:pPr>
      <w:r>
        <w:rPr>
          <w:rFonts w:ascii="Arial" w:hAnsi="Arial" w:eastAsia="宋体" w:cs="Arial"/>
          <w:kern w:val="0"/>
          <w:sz w:val="32"/>
          <w:szCs w:val="32"/>
        </w:rPr>
        <w:t xml:space="preserve"> </w:t>
      </w:r>
      <w:r>
        <w:rPr>
          <w:rFonts w:hint="eastAsia" w:ascii="Arial" w:hAnsi="Arial" w:eastAsia="宋体" w:cs="Arial"/>
          <w:kern w:val="0"/>
          <w:sz w:val="32"/>
          <w:szCs w:val="32"/>
          <w:lang w:val="en-US" w:eastAsia="zh-CN"/>
        </w:rPr>
        <w:t>Multiple TB scheduling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 xml:space="preserve">For NB-IoT/eMTC, for DL multiple TB scheduled by single DCI, RAN1#114 agreed to support mixed HARQ feedback enabled/disabled configuration with only RRC bitmap-based solution. Therefore, the same or different HARQ feedback configuration can be configured by eNB based on RAN1 agreement. 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rPr>
                <w:rFonts w:hint="default" w:ascii="Arial" w:hAnsi="Arial" w:cs="Arial"/>
                <w:bCs/>
                <w:iCs/>
                <w:sz w:val="20"/>
                <w:szCs w:val="20"/>
                <w:highlight w:val="green"/>
              </w:rPr>
            </w:pPr>
            <w:r>
              <w:rPr>
                <w:rFonts w:hint="default" w:ascii="Arial" w:hAnsi="Arial" w:cs="Arial"/>
                <w:bCs/>
                <w:iCs/>
                <w:sz w:val="20"/>
                <w:szCs w:val="20"/>
                <w:highlight w:val="green"/>
              </w:rPr>
              <w:t>Agreement</w:t>
            </w:r>
          </w:p>
          <w:p>
            <w:pPr>
              <w:spacing w:before="0" w:beforeAutospacing="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等线" w:cs="Arial"/>
                <w:sz w:val="20"/>
                <w:szCs w:val="20"/>
              </w:rPr>
              <w:t>For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LTE-MTC/NB-IoT, for the multiple TBs scheduled by single DCI with only RRC bitmap-based solution configuration and with mixed HARQ feedback enabled/disabled scheduling</w:t>
            </w:r>
          </w:p>
          <w:p>
            <w:pPr>
              <w:pStyle w:val="18"/>
              <w:numPr>
                <w:ilvl w:val="0"/>
                <w:numId w:val="4"/>
              </w:numPr>
              <w:spacing w:before="0" w:beforeAutospacing="0" w:after="0"/>
              <w:ind w:firstLineChars="0"/>
              <w:contextualSpacing/>
              <w:jc w:val="left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Without HARQ-ACK bundling</w:t>
            </w:r>
          </w:p>
          <w:p>
            <w:pPr>
              <w:pStyle w:val="18"/>
              <w:numPr>
                <w:ilvl w:val="1"/>
                <w:numId w:val="4"/>
              </w:numPr>
              <w:spacing w:before="0" w:beforeAutospacing="0" w:after="0"/>
              <w:ind w:firstLineChars="0"/>
              <w:contextualSpacing/>
              <w:jc w:val="left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eastAsia="等线" w:cs="Arial"/>
                <w:sz w:val="20"/>
                <w:szCs w:val="20"/>
              </w:rPr>
              <w:t>HARQ feedback is not reported for TB with HARQ feedback disabled configuration.</w:t>
            </w:r>
          </w:p>
          <w:p>
            <w:pPr>
              <w:pStyle w:val="18"/>
              <w:numPr>
                <w:ilvl w:val="1"/>
                <w:numId w:val="4"/>
              </w:numPr>
              <w:spacing w:before="0" w:beforeAutospacing="0" w:after="0"/>
              <w:ind w:firstLineChars="0"/>
              <w:contextualSpacing/>
              <w:jc w:val="left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HARQ timing for TBs with HARQ feedback enabled</w:t>
            </w:r>
            <w:r>
              <w:rPr>
                <w:rFonts w:hint="default" w:ascii="Arial" w:hAnsi="Arial" w:eastAsia="等线" w:cs="Arial"/>
                <w:sz w:val="20"/>
                <w:szCs w:val="20"/>
              </w:rPr>
              <w:t xml:space="preserve"> configuration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does not count the legacy HARQ-ACK resource/HARQ timing adopted for TBs with HARQ feedback disabled</w:t>
            </w:r>
            <w:r>
              <w:rPr>
                <w:rFonts w:hint="default" w:ascii="Arial" w:hAnsi="Arial" w:eastAsia="等线" w:cs="Arial"/>
                <w:sz w:val="20"/>
                <w:szCs w:val="20"/>
              </w:rPr>
              <w:t xml:space="preserve"> configuration</w:t>
            </w:r>
            <w:r>
              <w:rPr>
                <w:rFonts w:hint="default" w:ascii="Arial" w:hAnsi="Arial" w:cs="Arial"/>
                <w:sz w:val="20"/>
                <w:szCs w:val="20"/>
              </w:rPr>
              <w:t>. (Option 2e)</w:t>
            </w:r>
          </w:p>
          <w:p>
            <w:pPr>
              <w:pStyle w:val="18"/>
              <w:numPr>
                <w:ilvl w:val="0"/>
                <w:numId w:val="4"/>
              </w:numPr>
              <w:spacing w:before="0" w:beforeAutospacing="0" w:after="0"/>
              <w:ind w:firstLineChars="0"/>
              <w:contextualSpacing/>
              <w:jc w:val="left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With HARQ-ACK bundling</w:t>
            </w:r>
          </w:p>
          <w:p>
            <w:pPr>
              <w:pStyle w:val="18"/>
              <w:numPr>
                <w:ilvl w:val="1"/>
                <w:numId w:val="4"/>
              </w:numPr>
              <w:spacing w:before="0" w:beforeAutospacing="0" w:after="0"/>
              <w:ind w:firstLineChars="0"/>
              <w:contextualSpacing/>
              <w:jc w:val="left"/>
              <w:rPr>
                <w:rFonts w:hint="default" w:ascii="Arial" w:hAnsi="Arial" w:eastAsia="宋体" w:cs="Arial"/>
                <w:b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" w:cs="Arial"/>
                <w:sz w:val="20"/>
                <w:szCs w:val="20"/>
              </w:rPr>
              <w:t>Option 2f-b: ACK is reported for TB with HARQ feedback disabled configuration for HARQ-ACK bundling. No change to HARQ feedback timeline. (Option 2d)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>Therefore, the following proposal can be agreed by RAN2.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4: For DL multiple TB scheduling in eMTC and NB-IoT, it is up to network implementation to schedule multiple TBs with a single DCI using HARQ processes in the same or different HARQ feedback enabled/disabled configuration.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>For UL HARQ mode, RAN2 agreed to support RRC signaling configuration for NB-IoT/eMTC in last meeting. For UL multiple TB scheduling, we think a simple solution can be applied, i.e. same HARQ mode (A or B) should be applied to all the HARQ processes.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5: For UL multiple TB scheduling in eMTC and NB-IoT, the same HARQ mode is applied to all the HARQ processes scheduled.</w:t>
      </w:r>
    </w:p>
    <w:p>
      <w:pPr>
        <w:widowControl/>
        <w:numPr>
          <w:ilvl w:val="1"/>
          <w:numId w:val="2"/>
        </w:numPr>
        <w:spacing w:before="240" w:after="180"/>
        <w:outlineLvl w:val="1"/>
        <w:rPr>
          <w:rFonts w:hint="eastAsia" w:ascii="Arial" w:hAnsi="Arial" w:eastAsia="宋体" w:cs="Arial"/>
          <w:kern w:val="0"/>
          <w:sz w:val="32"/>
          <w:szCs w:val="32"/>
        </w:rPr>
      </w:pPr>
      <w:r>
        <w:rPr>
          <w:rFonts w:ascii="Arial" w:hAnsi="Arial" w:eastAsia="宋体" w:cs="Arial"/>
          <w:kern w:val="0"/>
          <w:sz w:val="32"/>
          <w:szCs w:val="32"/>
        </w:rPr>
        <w:t xml:space="preserve"> </w:t>
      </w:r>
      <w:r>
        <w:rPr>
          <w:rFonts w:hint="eastAsia" w:ascii="Arial" w:hAnsi="Arial" w:eastAsia="宋体" w:cs="Arial"/>
          <w:kern w:val="0"/>
          <w:sz w:val="32"/>
          <w:szCs w:val="32"/>
          <w:lang w:val="en-US" w:eastAsia="zh-CN"/>
        </w:rPr>
        <w:t>UL HARQ mode configuration for UL SPS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 xml:space="preserve">In last meeting RAN2 agreed to follow the NR NTN agreements on HARQ feedback for DL SPS, i.e. </w:t>
      </w:r>
      <w:r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GB" w:eastAsia="en-GB"/>
        </w:rPr>
        <w:t>HARQ feedback shall always be sent for DL SPS deactivation (i.e. regardless of HARQ feedback enabled/disabled)</w:t>
      </w:r>
      <w:r>
        <w:rPr>
          <w:rFonts w:hint="eastAsia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>. For UL HARQ mode configuration for UL SPS, majority companies also supported to follow the NR NTN agreements during the offline discussion [3]: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 xml:space="preserve">It is up to network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implementation </w:t>
      </w:r>
      <w:r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>to ensure proper configuration of HARQ mode for HARQ processes used by a UL SPS configuration (no Stage 3 specification impact).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 xml:space="preserve">RAN2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understanding </w:t>
      </w:r>
      <w:r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  <w:t>is that: in general, all HARQ processes used by a UL SPS configuration are configured with the same HARQ state (e.g. A or B). No specification impact.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6: In IoT NTN, follow NR NTN agreements for UL SPS HARQ mode configuration.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It is up to network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 xml:space="preserve">implementation </w:t>
      </w: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>to ensure proper configuration of HARQ mode for HARQ processes used by a UL SPS configuration (no Stage 3 specification impact).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RAN2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 xml:space="preserve">understanding </w:t>
      </w: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>is that: in general, all HARQ processes used by a UL SPS configuration are configured with the same HARQ state (e.g. A or B). No specification impact.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Here are the proposals for 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HARQ 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enhancement</w:t>
      </w:r>
      <w:r>
        <w:rPr>
          <w:rFonts w:hint="eastAsia" w:ascii="Arial" w:hAnsi="Arial" w:eastAsia="宋体" w:cs="Arial"/>
          <w:kern w:val="0"/>
          <w:sz w:val="20"/>
          <w:szCs w:val="20"/>
        </w:rPr>
        <w:t>s for IoT-NTN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.</w:t>
      </w:r>
    </w:p>
    <w:p>
      <w:pPr>
        <w:widowControl/>
        <w:spacing w:after="180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Proposal 1: For eMTC UE with </w:t>
      </w:r>
      <w:r>
        <w:rPr>
          <w:rFonts w:ascii="Arial" w:hAnsi="Arial" w:eastAsia="等线" w:cs="Arial"/>
          <w:b/>
          <w:bCs/>
          <w:color w:val="000000"/>
          <w:sz w:val="20"/>
          <w:szCs w:val="20"/>
          <w:lang w:val="sv-SE" w:eastAsia="zh-CN"/>
        </w:rPr>
        <w:t>Type B half-duplex FDD operation</w:t>
      </w:r>
      <w:r>
        <w:rPr>
          <w:rFonts w:hint="eastAsia" w:ascii="Arial" w:hAnsi="Arial" w:eastAsia="等线" w:cs="Arial"/>
          <w:b/>
          <w:bCs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Arial" w:hAnsi="Arial" w:eastAsia="等线" w:cs="Arial"/>
          <w:b/>
          <w:bCs/>
          <w:color w:val="000000"/>
          <w:sz w:val="20"/>
          <w:szCs w:val="20"/>
          <w:lang w:val="sv-SE" w:eastAsia="zh-CN"/>
        </w:rPr>
        <w:t>with HARQ mode B</w:t>
      </w:r>
      <w:r>
        <w:rPr>
          <w:rFonts w:hint="eastAsia" w:ascii="Arial" w:hAnsi="Arial" w:eastAsia="等线" w:cs="Arial"/>
          <w:b/>
          <w:bCs/>
          <w:color w:val="000000"/>
          <w:sz w:val="20"/>
          <w:szCs w:val="20"/>
          <w:lang w:val="en-US" w:eastAsia="zh-CN"/>
        </w:rPr>
        <w:t xml:space="preserve">, the UE will </w:t>
      </w:r>
      <w:r>
        <w:rPr>
          <w:rFonts w:hint="default" w:ascii="Arial" w:hAnsi="Arial" w:cs="Arial"/>
          <w:b/>
          <w:bCs/>
          <w:sz w:val="20"/>
          <w:szCs w:val="20"/>
        </w:rPr>
        <w:t xml:space="preserve">start/restart drx-inactivity timer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for the same HARQ process </w:t>
      </w:r>
      <w:r>
        <w:rPr>
          <w:rFonts w:hint="default" w:ascii="Arial" w:hAnsi="Arial" w:cs="Arial"/>
          <w:b/>
          <w:bCs/>
          <w:sz w:val="20"/>
          <w:szCs w:val="20"/>
        </w:rPr>
        <w:t>in the subframe containing the last repetition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 of PUSCH</w:t>
      </w:r>
      <w:r>
        <w:rPr>
          <w:rFonts w:hint="default" w:ascii="Arial" w:hAnsi="Arial" w:cs="Arial"/>
          <w:b/>
          <w:bCs/>
          <w:sz w:val="20"/>
          <w:szCs w:val="20"/>
        </w:rPr>
        <w:t xml:space="preserve">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transmission plus 1ms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highlight w:val="none"/>
          <w:lang w:val="en-US" w:eastAsia="zh-CN"/>
        </w:rPr>
        <w:t>Proposal 2: For NB-IoT NTN with two HARQ processes where at least one HARQ process is disabled, the UE should stop the drx-inactivity timer if running when the UE receives NPDSCH of HARQ process with HARQ feedback disabled, and restart/start the drx-inactivity timer from the last reception of NPDSCH plus 12 subframes plus deltaPDCCH.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3: RAN2 confirm not to configure HARQ mode for UL transmission using PUR.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4: For DL multiple TB scheduling in eMTC and NB-IoT, it is up to network implementation to schedule multiple TBs with a single DCI using HARQ processes in the same or different HARQ feedback enabled/disabled configuration.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5: For UL multiple TB scheduling in eMTC and NB-IoT, the same HARQ mode is applied to all the HARQ processes scheduled.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Proposal 6: In IoT NTN, follow NR NTN agreements for UL SPS HARQ mode configuration.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It is up to network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 xml:space="preserve">implementation </w:t>
      </w: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>to ensure proper configuration of HARQ mode for HARQ processes used by a UL SPS configuration (no Stage 3 specification impact).</w:t>
      </w:r>
    </w:p>
    <w:p>
      <w:pPr>
        <w:pStyle w:val="18"/>
        <w:numPr>
          <w:ilvl w:val="0"/>
          <w:numId w:val="4"/>
        </w:numPr>
        <w:spacing w:before="0" w:beforeAutospacing="0" w:after="0"/>
        <w:ind w:firstLineChars="0"/>
        <w:contextualSpacing/>
        <w:jc w:val="left"/>
        <w:rPr>
          <w:rFonts w:hint="default" w:ascii="Arial" w:hAnsi="Arial" w:eastAsia="宋体" w:cs="Arial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RAN2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 xml:space="preserve">understanding </w:t>
      </w:r>
      <w:r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  <w:t>is that: in general, all HARQ processes used by a UL SPS configuration are configured with the same HARQ state (e.g. A or B). No specification impact.</w:t>
      </w:r>
    </w:p>
    <w:p>
      <w:pPr>
        <w:widowControl/>
        <w:spacing w:after="180"/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Draft_R2_12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3</w:t>
      </w: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_meeting_report_v1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R1-2306182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Reply LS on HARQ Enhancements</w:t>
      </w:r>
    </w:p>
    <w:p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R2-2308981 [AT123][101][IoT NTN] HARQ Enhancements (Nokia)</w:t>
      </w:r>
    </w:p>
    <w:p>
      <w:pPr>
        <w:rPr>
          <w:lang w:val="en-GB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A566"/>
    <w:multiLevelType w:val="multilevel"/>
    <w:tmpl w:val="2DCAA56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477C1432"/>
    <w:multiLevelType w:val="multilevel"/>
    <w:tmpl w:val="477C14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3E63DE3"/>
    <w:multiLevelType w:val="singleLevel"/>
    <w:tmpl w:val="63E63DE3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B0F44CA"/>
    <w:multiLevelType w:val="multilevel"/>
    <w:tmpl w:val="7B0F44CA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A3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E0483"/>
    <w:rsid w:val="000F0EDC"/>
    <w:rsid w:val="000F3D5A"/>
    <w:rsid w:val="0015147A"/>
    <w:rsid w:val="00196A53"/>
    <w:rsid w:val="001B2D58"/>
    <w:rsid w:val="001E2496"/>
    <w:rsid w:val="001F7978"/>
    <w:rsid w:val="002215C2"/>
    <w:rsid w:val="00225D63"/>
    <w:rsid w:val="00234354"/>
    <w:rsid w:val="002650A3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23942"/>
    <w:rsid w:val="00525BBB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74611C"/>
    <w:rsid w:val="007A2ADF"/>
    <w:rsid w:val="007B28E6"/>
    <w:rsid w:val="007E3904"/>
    <w:rsid w:val="00843904"/>
    <w:rsid w:val="00894A29"/>
    <w:rsid w:val="008A5A0B"/>
    <w:rsid w:val="008D110D"/>
    <w:rsid w:val="008E4F97"/>
    <w:rsid w:val="00940BA3"/>
    <w:rsid w:val="00950D36"/>
    <w:rsid w:val="00956A27"/>
    <w:rsid w:val="00982B04"/>
    <w:rsid w:val="009924F0"/>
    <w:rsid w:val="009A6751"/>
    <w:rsid w:val="009D3F27"/>
    <w:rsid w:val="009E36A7"/>
    <w:rsid w:val="009E6BC9"/>
    <w:rsid w:val="00A350C4"/>
    <w:rsid w:val="00AC3458"/>
    <w:rsid w:val="00AD67D5"/>
    <w:rsid w:val="00AD727F"/>
    <w:rsid w:val="00B24F10"/>
    <w:rsid w:val="00B73C33"/>
    <w:rsid w:val="00B846FB"/>
    <w:rsid w:val="00B84BEF"/>
    <w:rsid w:val="00BB6E56"/>
    <w:rsid w:val="00C03FFA"/>
    <w:rsid w:val="00C12245"/>
    <w:rsid w:val="00C31C25"/>
    <w:rsid w:val="00C53226"/>
    <w:rsid w:val="00C95F8C"/>
    <w:rsid w:val="00CD18ED"/>
    <w:rsid w:val="00CF2DAA"/>
    <w:rsid w:val="00D66BFB"/>
    <w:rsid w:val="00D9059D"/>
    <w:rsid w:val="00DA12B1"/>
    <w:rsid w:val="00DA6656"/>
    <w:rsid w:val="00DE5620"/>
    <w:rsid w:val="00E513DD"/>
    <w:rsid w:val="00E82408"/>
    <w:rsid w:val="00ED765C"/>
    <w:rsid w:val="00EF5EE1"/>
    <w:rsid w:val="00F02DFE"/>
    <w:rsid w:val="00F05AB0"/>
    <w:rsid w:val="00F0760F"/>
    <w:rsid w:val="00F33D13"/>
    <w:rsid w:val="00F47D8B"/>
    <w:rsid w:val="00F627D0"/>
    <w:rsid w:val="00F841B6"/>
    <w:rsid w:val="00F92EA1"/>
    <w:rsid w:val="01041DE1"/>
    <w:rsid w:val="012C01E6"/>
    <w:rsid w:val="014D60E7"/>
    <w:rsid w:val="02C51341"/>
    <w:rsid w:val="02F44E0B"/>
    <w:rsid w:val="0312370F"/>
    <w:rsid w:val="038A1F16"/>
    <w:rsid w:val="03A42F63"/>
    <w:rsid w:val="043609AE"/>
    <w:rsid w:val="04406F16"/>
    <w:rsid w:val="04A37BF0"/>
    <w:rsid w:val="060D08B4"/>
    <w:rsid w:val="068B1397"/>
    <w:rsid w:val="06E12E02"/>
    <w:rsid w:val="094470AB"/>
    <w:rsid w:val="09AD4CAA"/>
    <w:rsid w:val="0A1469F1"/>
    <w:rsid w:val="0A173D8A"/>
    <w:rsid w:val="0B7552D3"/>
    <w:rsid w:val="0BE16671"/>
    <w:rsid w:val="0CA579C5"/>
    <w:rsid w:val="0CC05689"/>
    <w:rsid w:val="0CD5224C"/>
    <w:rsid w:val="0D771EA7"/>
    <w:rsid w:val="0D8F0457"/>
    <w:rsid w:val="0DD27F39"/>
    <w:rsid w:val="0E205AED"/>
    <w:rsid w:val="0EE436A5"/>
    <w:rsid w:val="0F044E32"/>
    <w:rsid w:val="0F071C89"/>
    <w:rsid w:val="0F220B5F"/>
    <w:rsid w:val="104F2F73"/>
    <w:rsid w:val="110171B2"/>
    <w:rsid w:val="11865C8A"/>
    <w:rsid w:val="11C3470E"/>
    <w:rsid w:val="11F10CFD"/>
    <w:rsid w:val="123900DB"/>
    <w:rsid w:val="124311BD"/>
    <w:rsid w:val="124A1975"/>
    <w:rsid w:val="12E10518"/>
    <w:rsid w:val="131D4BE7"/>
    <w:rsid w:val="13392934"/>
    <w:rsid w:val="13D05981"/>
    <w:rsid w:val="13F13831"/>
    <w:rsid w:val="14501BED"/>
    <w:rsid w:val="1450733C"/>
    <w:rsid w:val="147C16AC"/>
    <w:rsid w:val="14E836E8"/>
    <w:rsid w:val="14FF75D3"/>
    <w:rsid w:val="153A5045"/>
    <w:rsid w:val="155F5A4B"/>
    <w:rsid w:val="157E70AA"/>
    <w:rsid w:val="15BE553B"/>
    <w:rsid w:val="161147C5"/>
    <w:rsid w:val="16A3322F"/>
    <w:rsid w:val="17250459"/>
    <w:rsid w:val="173E75B8"/>
    <w:rsid w:val="174F4418"/>
    <w:rsid w:val="17CD5A7B"/>
    <w:rsid w:val="186F5E5F"/>
    <w:rsid w:val="187A66B9"/>
    <w:rsid w:val="19070F2A"/>
    <w:rsid w:val="19664328"/>
    <w:rsid w:val="19935127"/>
    <w:rsid w:val="19CB2687"/>
    <w:rsid w:val="1A4E34F4"/>
    <w:rsid w:val="1A983F71"/>
    <w:rsid w:val="1ACB37C1"/>
    <w:rsid w:val="1ACC2385"/>
    <w:rsid w:val="1B7D2F59"/>
    <w:rsid w:val="1BF105C9"/>
    <w:rsid w:val="1C9133C6"/>
    <w:rsid w:val="1CB122DB"/>
    <w:rsid w:val="1CC26FBD"/>
    <w:rsid w:val="1D303AA8"/>
    <w:rsid w:val="1DBA42E6"/>
    <w:rsid w:val="1DE55E1B"/>
    <w:rsid w:val="1E2F5ED3"/>
    <w:rsid w:val="1EB6286D"/>
    <w:rsid w:val="1FD42756"/>
    <w:rsid w:val="20F63843"/>
    <w:rsid w:val="21012678"/>
    <w:rsid w:val="215D187A"/>
    <w:rsid w:val="216646D4"/>
    <w:rsid w:val="219A23F8"/>
    <w:rsid w:val="21B12554"/>
    <w:rsid w:val="2270235C"/>
    <w:rsid w:val="22B32E1B"/>
    <w:rsid w:val="22CA1B7D"/>
    <w:rsid w:val="23944C77"/>
    <w:rsid w:val="248758A7"/>
    <w:rsid w:val="249D5D77"/>
    <w:rsid w:val="254D3519"/>
    <w:rsid w:val="255B7B59"/>
    <w:rsid w:val="265617F5"/>
    <w:rsid w:val="26A4073E"/>
    <w:rsid w:val="27B70C8E"/>
    <w:rsid w:val="27E13FF4"/>
    <w:rsid w:val="2811576F"/>
    <w:rsid w:val="28471CEA"/>
    <w:rsid w:val="28781132"/>
    <w:rsid w:val="28A83036"/>
    <w:rsid w:val="28E76E28"/>
    <w:rsid w:val="29A078FD"/>
    <w:rsid w:val="29AC2D66"/>
    <w:rsid w:val="29BF17B7"/>
    <w:rsid w:val="29D43616"/>
    <w:rsid w:val="29EC75A6"/>
    <w:rsid w:val="2A413B9B"/>
    <w:rsid w:val="2B0514F7"/>
    <w:rsid w:val="2B1A7B79"/>
    <w:rsid w:val="2B4D1216"/>
    <w:rsid w:val="2B882648"/>
    <w:rsid w:val="2BD74133"/>
    <w:rsid w:val="2C095760"/>
    <w:rsid w:val="2C346513"/>
    <w:rsid w:val="2C4606A6"/>
    <w:rsid w:val="2C7D265B"/>
    <w:rsid w:val="2D844A12"/>
    <w:rsid w:val="2E5B62FC"/>
    <w:rsid w:val="2EDE19F1"/>
    <w:rsid w:val="2FC93A6E"/>
    <w:rsid w:val="300B2EDF"/>
    <w:rsid w:val="30B60AE3"/>
    <w:rsid w:val="30B76F25"/>
    <w:rsid w:val="30C4636F"/>
    <w:rsid w:val="312E0684"/>
    <w:rsid w:val="31341CC3"/>
    <w:rsid w:val="3172314A"/>
    <w:rsid w:val="318871CD"/>
    <w:rsid w:val="32524FB7"/>
    <w:rsid w:val="32E32A47"/>
    <w:rsid w:val="33187C46"/>
    <w:rsid w:val="336B2EA4"/>
    <w:rsid w:val="33DA6921"/>
    <w:rsid w:val="34221772"/>
    <w:rsid w:val="3430604F"/>
    <w:rsid w:val="357F4A53"/>
    <w:rsid w:val="367B360C"/>
    <w:rsid w:val="36B15D02"/>
    <w:rsid w:val="36F84B57"/>
    <w:rsid w:val="38521BFC"/>
    <w:rsid w:val="385B5BDA"/>
    <w:rsid w:val="38996C55"/>
    <w:rsid w:val="38C331FB"/>
    <w:rsid w:val="38E93DF3"/>
    <w:rsid w:val="38FC32F5"/>
    <w:rsid w:val="39030A9D"/>
    <w:rsid w:val="39F7743A"/>
    <w:rsid w:val="3A565D13"/>
    <w:rsid w:val="3A7A23A9"/>
    <w:rsid w:val="3BD66AE9"/>
    <w:rsid w:val="3C2C67FC"/>
    <w:rsid w:val="3CA66A58"/>
    <w:rsid w:val="3D4B73D6"/>
    <w:rsid w:val="3D532217"/>
    <w:rsid w:val="3D5B3EF0"/>
    <w:rsid w:val="3DAC4E92"/>
    <w:rsid w:val="3DE74947"/>
    <w:rsid w:val="3ECD0998"/>
    <w:rsid w:val="3ED508CA"/>
    <w:rsid w:val="3EDA1B26"/>
    <w:rsid w:val="3F216650"/>
    <w:rsid w:val="3FA42170"/>
    <w:rsid w:val="3FAF36DB"/>
    <w:rsid w:val="404F4067"/>
    <w:rsid w:val="40645361"/>
    <w:rsid w:val="406A14B3"/>
    <w:rsid w:val="40F67275"/>
    <w:rsid w:val="41855840"/>
    <w:rsid w:val="424B786F"/>
    <w:rsid w:val="429B4C3C"/>
    <w:rsid w:val="42B94BEA"/>
    <w:rsid w:val="43146FF6"/>
    <w:rsid w:val="433204F8"/>
    <w:rsid w:val="445E5EBA"/>
    <w:rsid w:val="44F46625"/>
    <w:rsid w:val="453A698A"/>
    <w:rsid w:val="4599227F"/>
    <w:rsid w:val="45A224F0"/>
    <w:rsid w:val="45E14DC7"/>
    <w:rsid w:val="45E26558"/>
    <w:rsid w:val="45EA2721"/>
    <w:rsid w:val="46120C85"/>
    <w:rsid w:val="46770DD0"/>
    <w:rsid w:val="46FE4C6E"/>
    <w:rsid w:val="472C72C1"/>
    <w:rsid w:val="474C68B7"/>
    <w:rsid w:val="477B726A"/>
    <w:rsid w:val="47C04462"/>
    <w:rsid w:val="47D84F8A"/>
    <w:rsid w:val="47DB6ABB"/>
    <w:rsid w:val="47EE2EA3"/>
    <w:rsid w:val="484078FD"/>
    <w:rsid w:val="4854546D"/>
    <w:rsid w:val="49A97E85"/>
    <w:rsid w:val="4A02606A"/>
    <w:rsid w:val="4A310250"/>
    <w:rsid w:val="4A8A3813"/>
    <w:rsid w:val="4AC6206F"/>
    <w:rsid w:val="4B2D6EBE"/>
    <w:rsid w:val="4BD72462"/>
    <w:rsid w:val="4C3F10FC"/>
    <w:rsid w:val="4C79760A"/>
    <w:rsid w:val="4CA62497"/>
    <w:rsid w:val="4D2546D1"/>
    <w:rsid w:val="4D746926"/>
    <w:rsid w:val="4D776224"/>
    <w:rsid w:val="4DB0556E"/>
    <w:rsid w:val="4E1600AB"/>
    <w:rsid w:val="4E305585"/>
    <w:rsid w:val="4E9E13D8"/>
    <w:rsid w:val="4EF5192E"/>
    <w:rsid w:val="4F9F5231"/>
    <w:rsid w:val="501333F6"/>
    <w:rsid w:val="507E5F1B"/>
    <w:rsid w:val="5135665F"/>
    <w:rsid w:val="514A5666"/>
    <w:rsid w:val="51CC648B"/>
    <w:rsid w:val="521E3449"/>
    <w:rsid w:val="528B1069"/>
    <w:rsid w:val="53272E65"/>
    <w:rsid w:val="533D573B"/>
    <w:rsid w:val="53AB3ED4"/>
    <w:rsid w:val="53D170F4"/>
    <w:rsid w:val="55650B86"/>
    <w:rsid w:val="55B90ED4"/>
    <w:rsid w:val="55CD5974"/>
    <w:rsid w:val="55F400DA"/>
    <w:rsid w:val="56261EEF"/>
    <w:rsid w:val="562D405C"/>
    <w:rsid w:val="56355AFC"/>
    <w:rsid w:val="56581D59"/>
    <w:rsid w:val="57057A28"/>
    <w:rsid w:val="57136566"/>
    <w:rsid w:val="571531AA"/>
    <w:rsid w:val="57203CEA"/>
    <w:rsid w:val="573F72B3"/>
    <w:rsid w:val="578E1CC4"/>
    <w:rsid w:val="58012BF4"/>
    <w:rsid w:val="58225D38"/>
    <w:rsid w:val="58AB4E89"/>
    <w:rsid w:val="58B6797B"/>
    <w:rsid w:val="5A2F5AF5"/>
    <w:rsid w:val="5AFF7905"/>
    <w:rsid w:val="5B0B3A73"/>
    <w:rsid w:val="5B492C91"/>
    <w:rsid w:val="5B7762E7"/>
    <w:rsid w:val="5CB62828"/>
    <w:rsid w:val="5D052C1F"/>
    <w:rsid w:val="5E4850C1"/>
    <w:rsid w:val="5EDE2F50"/>
    <w:rsid w:val="5F07263F"/>
    <w:rsid w:val="5F2F6349"/>
    <w:rsid w:val="5F573467"/>
    <w:rsid w:val="5F600D4E"/>
    <w:rsid w:val="60D14125"/>
    <w:rsid w:val="627C5C4F"/>
    <w:rsid w:val="638B60F8"/>
    <w:rsid w:val="646D26FA"/>
    <w:rsid w:val="64C14E5C"/>
    <w:rsid w:val="64FF3685"/>
    <w:rsid w:val="6505472E"/>
    <w:rsid w:val="652E7A0E"/>
    <w:rsid w:val="65B131D7"/>
    <w:rsid w:val="660E4242"/>
    <w:rsid w:val="66165602"/>
    <w:rsid w:val="662602A2"/>
    <w:rsid w:val="66E753A0"/>
    <w:rsid w:val="677038E2"/>
    <w:rsid w:val="689B5C91"/>
    <w:rsid w:val="68A036FA"/>
    <w:rsid w:val="68C4021E"/>
    <w:rsid w:val="68D5400D"/>
    <w:rsid w:val="691D3648"/>
    <w:rsid w:val="69293200"/>
    <w:rsid w:val="694347AF"/>
    <w:rsid w:val="694F06EB"/>
    <w:rsid w:val="69D56707"/>
    <w:rsid w:val="6A091242"/>
    <w:rsid w:val="6BE35659"/>
    <w:rsid w:val="6BEF2D70"/>
    <w:rsid w:val="6BFE2EC1"/>
    <w:rsid w:val="6E083615"/>
    <w:rsid w:val="6E6F0BB4"/>
    <w:rsid w:val="6E9E6753"/>
    <w:rsid w:val="6EC7257F"/>
    <w:rsid w:val="6ECF75CD"/>
    <w:rsid w:val="6F245D1C"/>
    <w:rsid w:val="6FBE0E73"/>
    <w:rsid w:val="6FC268FF"/>
    <w:rsid w:val="704509C1"/>
    <w:rsid w:val="713F7C70"/>
    <w:rsid w:val="71A42B10"/>
    <w:rsid w:val="725965C8"/>
    <w:rsid w:val="7279563C"/>
    <w:rsid w:val="732872C5"/>
    <w:rsid w:val="736577F1"/>
    <w:rsid w:val="73945229"/>
    <w:rsid w:val="73F8263B"/>
    <w:rsid w:val="74106478"/>
    <w:rsid w:val="741B0715"/>
    <w:rsid w:val="743D05C1"/>
    <w:rsid w:val="7515400A"/>
    <w:rsid w:val="75A11A2A"/>
    <w:rsid w:val="75E34603"/>
    <w:rsid w:val="76606718"/>
    <w:rsid w:val="766703E1"/>
    <w:rsid w:val="76882F1E"/>
    <w:rsid w:val="7735668B"/>
    <w:rsid w:val="78317FBD"/>
    <w:rsid w:val="78CC09CF"/>
    <w:rsid w:val="79097EB0"/>
    <w:rsid w:val="791F37C0"/>
    <w:rsid w:val="79756A85"/>
    <w:rsid w:val="79C61A14"/>
    <w:rsid w:val="7A053543"/>
    <w:rsid w:val="7AA87E49"/>
    <w:rsid w:val="7ABB0294"/>
    <w:rsid w:val="7BE619B7"/>
    <w:rsid w:val="7C2B3848"/>
    <w:rsid w:val="7C4E5B9F"/>
    <w:rsid w:val="7CCE4D46"/>
    <w:rsid w:val="7D073BAD"/>
    <w:rsid w:val="7E1C1F3D"/>
    <w:rsid w:val="7E886BD8"/>
    <w:rsid w:val="7EA42950"/>
    <w:rsid w:val="7EBE0DBA"/>
    <w:rsid w:val="7F1C368D"/>
    <w:rsid w:val="7F7A668F"/>
    <w:rsid w:val="7FDF279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spacing w:before="100" w:beforeAutospacing="1" w:after="100" w:afterAutospacing="1" w:line="240" w:lineRule="auto"/>
      <w:outlineLvl w:val="3"/>
    </w:pPr>
    <w:rPr>
      <w:rFonts w:ascii="Calibri" w:hAnsi="Calibri" w:eastAsia="Times New Roman" w:cs="Calibr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annotation text"/>
    <w:basedOn w:val="1"/>
    <w:qFormat/>
    <w:uiPriority w:val="99"/>
    <w:pPr>
      <w:jc w:val="left"/>
    </w:pPr>
  </w:style>
  <w:style w:type="paragraph" w:styleId="5">
    <w:name w:val="Body Text"/>
    <w:basedOn w:val="1"/>
    <w:unhideWhenUsed/>
    <w:qFormat/>
    <w:uiPriority w:val="99"/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"/>
    <w:basedOn w:val="1"/>
    <w:qFormat/>
    <w:uiPriority w:val="0"/>
    <w:pPr>
      <w:ind w:left="568" w:hanging="284"/>
    </w:pPr>
  </w:style>
  <w:style w:type="table" w:styleId="11">
    <w:name w:val="Table Grid"/>
    <w:basedOn w:val="10"/>
    <w:qFormat/>
    <w:uiPriority w:val="0"/>
    <w:rPr>
      <w:rFonts w:ascii="Times New Roman" w:hAnsi="Times New Roman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16">
    <w:name w:val="TH"/>
    <w:basedOn w:val="1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B1"/>
    <w:basedOn w:val="9"/>
    <w:qFormat/>
    <w:uiPriority w:val="0"/>
  </w:style>
  <w:style w:type="paragraph" w:customStyle="1" w:styleId="20">
    <w:name w:val="Doc-text2"/>
    <w:basedOn w:val="1"/>
    <w:qFormat/>
    <w:uiPriority w:val="0"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21">
    <w:name w:val="Proposal"/>
    <w:basedOn w:val="5"/>
    <w:qFormat/>
    <w:uiPriority w:val="0"/>
    <w:pPr>
      <w:tabs>
        <w:tab w:val="left" w:pos="1701"/>
      </w:tabs>
    </w:pPr>
    <w:rPr>
      <w:rFonts w:ascii="Arial" w:hAnsi="Arial" w:eastAsia="等线"/>
      <w:b/>
      <w:bCs/>
      <w:sz w:val="20"/>
    </w:rPr>
  </w:style>
  <w:style w:type="character" w:customStyle="1" w:styleId="22">
    <w:name w:val="文档结构图 Char"/>
    <w:basedOn w:val="12"/>
    <w:link w:val="3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kern w:val="2"/>
      <w:sz w:val="18"/>
      <w:szCs w:val="18"/>
    </w:rPr>
  </w:style>
  <w:style w:type="paragraph" w:customStyle="1" w:styleId="2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5">
    <w:name w:val="x_msonormal"/>
    <w:basedOn w:val="1"/>
    <w:qFormat/>
    <w:uiPriority w:val="0"/>
    <w:pPr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960</Words>
  <Characters>5472</Characters>
  <Lines>45</Lines>
  <Paragraphs>12</Paragraphs>
  <TotalTime>4</TotalTime>
  <ScaleCrop>false</ScaleCrop>
  <LinksUpToDate>false</LinksUpToDate>
  <CharactersWithSpaces>6420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2022-09-30T07:56:00Z</dcterms:created>
  <dc:creator>CMCC_TJY</dc:creator>
  <cp:lastModifiedBy>CMCC</cp:lastModifiedBy>
  <dcterms:modified xsi:type="dcterms:W3CDTF">2023-09-29T04:15:48Z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10D669E9425D4659975DE4A4A59CE790</vt:lpwstr>
  </property>
</Properties>
</file>